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6EC98" w14:textId="63988816" w:rsidR="00094B2C" w:rsidRDefault="00094B2C">
      <w:pPr>
        <w:pStyle w:val="Heading2"/>
        <w:divId w:val="1680279521"/>
        <w:rPr>
          <w:rFonts w:eastAsia="Times New Roman" w:cs="Arial"/>
        </w:rPr>
      </w:pPr>
      <w:bookmarkStart w:id="0" w:name="_Hlk478821632"/>
      <w:r>
        <w:rPr>
          <w:rFonts w:eastAsia="Times New Roman" w:cs="Arial"/>
        </w:rPr>
        <w:t>Key Factors Worksheet</w:t>
      </w:r>
      <w:r w:rsidR="004740EE">
        <w:rPr>
          <w:rFonts w:eastAsia="Times New Roman" w:cs="Arial"/>
        </w:rPr>
        <w:t xml:space="preserve"> – </w:t>
      </w:r>
      <w:r w:rsidR="00081519">
        <w:rPr>
          <w:rFonts w:eastAsia="Times New Roman" w:cs="Arial"/>
        </w:rPr>
        <w:t>201</w:t>
      </w:r>
      <w:r w:rsidR="00547543">
        <w:rPr>
          <w:rFonts w:eastAsia="Times New Roman" w:cs="Arial"/>
        </w:rPr>
        <w:t>9</w:t>
      </w:r>
      <w:r w:rsidR="00081519">
        <w:rPr>
          <w:rFonts w:eastAsia="Times New Roman" w:cs="Arial"/>
        </w:rPr>
        <w:t xml:space="preserve"> </w:t>
      </w:r>
      <w:r w:rsidR="00547543">
        <w:rPr>
          <w:rFonts w:eastAsia="Times New Roman" w:cs="Arial"/>
        </w:rPr>
        <w:t>LOTS</w:t>
      </w:r>
      <w:r w:rsidR="004740EE">
        <w:rPr>
          <w:rFonts w:eastAsia="Times New Roman" w:cs="Arial"/>
        </w:rPr>
        <w:t xml:space="preserve"> </w:t>
      </w:r>
      <w:r w:rsidR="00081519">
        <w:rPr>
          <w:rFonts w:eastAsia="Times New Roman" w:cs="Arial"/>
        </w:rPr>
        <w:t>Case Study</w:t>
      </w:r>
    </w:p>
    <w:p w14:paraId="42965113" w14:textId="2135F65D" w:rsidR="00081519" w:rsidRPr="00081519" w:rsidRDefault="00081519" w:rsidP="00081519">
      <w:pPr>
        <w:pStyle w:val="Heading4"/>
        <w:divId w:val="1680279521"/>
        <w:rPr>
          <w:rFonts w:eastAsia="Times New Roman" w:cs="Arial"/>
          <w:color w:val="FF0000"/>
          <w:sz w:val="24"/>
        </w:rPr>
      </w:pPr>
      <w:r w:rsidRPr="00081519">
        <w:rPr>
          <w:rFonts w:eastAsia="Times New Roman" w:cs="Arial"/>
          <w:color w:val="FF0000"/>
          <w:sz w:val="24"/>
        </w:rPr>
        <w:t>Assignment: Please complete the Key Factors for P.1b Organizational Relationships and P.2</w:t>
      </w:r>
      <w:r w:rsidR="00A823AD">
        <w:rPr>
          <w:rFonts w:eastAsia="Times New Roman" w:cs="Arial"/>
          <w:color w:val="FF0000"/>
          <w:sz w:val="24"/>
        </w:rPr>
        <w:t>b</w:t>
      </w:r>
      <w:r w:rsidRPr="00081519">
        <w:rPr>
          <w:rFonts w:eastAsia="Times New Roman" w:cs="Arial"/>
          <w:color w:val="FF0000"/>
          <w:sz w:val="24"/>
        </w:rPr>
        <w:t xml:space="preserve"> </w:t>
      </w:r>
      <w:r w:rsidR="00A823AD">
        <w:rPr>
          <w:rFonts w:eastAsia="Times New Roman" w:cs="Arial"/>
          <w:color w:val="FF0000"/>
          <w:sz w:val="24"/>
        </w:rPr>
        <w:t xml:space="preserve">Strategic </w:t>
      </w:r>
      <w:r w:rsidR="00547543">
        <w:rPr>
          <w:rFonts w:eastAsia="Times New Roman" w:cs="Arial"/>
          <w:color w:val="FF0000"/>
          <w:sz w:val="24"/>
        </w:rPr>
        <w:t>Context</w:t>
      </w:r>
    </w:p>
    <w:p w14:paraId="47EF8080" w14:textId="484FF091" w:rsidR="00094B2C" w:rsidRPr="003A25A0" w:rsidRDefault="00094B2C" w:rsidP="00081519">
      <w:pPr>
        <w:pStyle w:val="Heading2"/>
        <w:divId w:val="1680279521"/>
        <w:rPr>
          <w:rFonts w:eastAsia="Times New Roman" w:cs="Arial"/>
          <w:sz w:val="32"/>
          <w:szCs w:val="32"/>
        </w:rPr>
      </w:pPr>
      <w:r w:rsidRPr="003A25A0">
        <w:rPr>
          <w:rFonts w:eastAsia="Times New Roman" w:cs="Arial"/>
          <w:sz w:val="32"/>
          <w:szCs w:val="32"/>
        </w:rPr>
        <w:t xml:space="preserve">P.1 Organizational </w:t>
      </w:r>
      <w:r w:rsidR="00E62856">
        <w:rPr>
          <w:rFonts w:eastAsia="Times New Roman" w:cs="Arial"/>
          <w:sz w:val="32"/>
          <w:szCs w:val="32"/>
        </w:rPr>
        <w:t>Description</w:t>
      </w:r>
    </w:p>
    <w:p w14:paraId="0FAA48A1" w14:textId="24B85CC3" w:rsidR="00E62856" w:rsidRDefault="00E62856" w:rsidP="00A65DCD">
      <w:pPr>
        <w:divId w:val="1680279521"/>
        <w:rPr>
          <w:rStyle w:val="Strong"/>
          <w:rFonts w:eastAsia="Times New Roman" w:cs="Arial"/>
          <w:szCs w:val="22"/>
        </w:rPr>
      </w:pPr>
      <w:r>
        <w:rPr>
          <w:rStyle w:val="Strong"/>
          <w:rFonts w:eastAsia="Times New Roman" w:cs="Arial"/>
          <w:szCs w:val="22"/>
        </w:rPr>
        <w:t>P.</w:t>
      </w:r>
      <w:r w:rsidR="00EC62CD">
        <w:rPr>
          <w:rStyle w:val="Strong"/>
          <w:rFonts w:eastAsia="Times New Roman" w:cs="Arial"/>
          <w:szCs w:val="22"/>
        </w:rPr>
        <w:t>1a Organizational Environment</w:t>
      </w:r>
    </w:p>
    <w:p w14:paraId="2BD3CBFF" w14:textId="262FB7C8" w:rsidR="00A65DCD" w:rsidRDefault="00A65DCD" w:rsidP="00A65DCD">
      <w:pPr>
        <w:divId w:val="1680279521"/>
        <w:rPr>
          <w:rFonts w:eastAsia="Times New Roman"/>
        </w:rPr>
      </w:pPr>
      <w:r>
        <w:rPr>
          <w:rStyle w:val="Strong"/>
          <w:rFonts w:eastAsia="Times New Roman" w:cs="Arial"/>
          <w:szCs w:val="22"/>
        </w:rPr>
        <w:t>Organizational Context</w:t>
      </w:r>
      <w:r>
        <w:rPr>
          <w:rFonts w:eastAsia="Times New Roman"/>
        </w:rPr>
        <w:t xml:space="preserve"> 1 of 58 federally designated, nonprofit, regional organ/tissue procurement organizations (OPO) in U.S. for 25+ years. Serves 3.2 million people in federally assigned territory: 62 counties in North Takoma (NT) and South Takoma (ST). Located in Columbia, NT.</w:t>
      </w:r>
    </w:p>
    <w:p w14:paraId="7745D026" w14:textId="77777777" w:rsidR="00A65DCD" w:rsidRDefault="00A65DCD" w:rsidP="00A65DCD">
      <w:pPr>
        <w:divId w:val="1680279521"/>
        <w:rPr>
          <w:rFonts w:eastAsia="Times New Roman"/>
        </w:rPr>
      </w:pPr>
      <w:r>
        <w:rPr>
          <w:rStyle w:val="Strong"/>
          <w:rFonts w:eastAsia="Times New Roman" w:cs="Arial"/>
          <w:szCs w:val="22"/>
        </w:rPr>
        <w:t>Product Offerings</w:t>
      </w:r>
      <w:r>
        <w:rPr>
          <w:rFonts w:eastAsia="Times New Roman"/>
        </w:rPr>
        <w:t xml:space="preserve"> Main offering: facilitation of organ/tissue donation, through two work systems: organ and tissue. Delivery for both requires coordination of partners, collaborators, key suppliers via Partnership Model (P.1-2).</w:t>
      </w:r>
    </w:p>
    <w:p w14:paraId="4C4F2BD4" w14:textId="77777777" w:rsidR="00A65DCD" w:rsidRDefault="00A65DCD" w:rsidP="00A65DCD">
      <w:pPr>
        <w:divId w:val="1680279521"/>
        <w:rPr>
          <w:rFonts w:eastAsia="Times New Roman"/>
        </w:rPr>
      </w:pPr>
      <w:r>
        <w:rPr>
          <w:rStyle w:val="Strong"/>
          <w:rFonts w:eastAsia="Times New Roman" w:cs="Arial"/>
          <w:szCs w:val="22"/>
        </w:rPr>
        <w:t>MVV + C</w:t>
      </w:r>
      <w:r>
        <w:rPr>
          <w:rFonts w:eastAsia="Times New Roman"/>
        </w:rPr>
        <w:t xml:space="preserve"> Mission: We save and improve lives. Vision: Organs and tissues are always available. Values: compassion, teamwork, honesty, quality, improvement. Culture: strong drive to meet mission. MVV are foundation for culture, basis for how applicant is managed.</w:t>
      </w:r>
    </w:p>
    <w:p w14:paraId="14513EC2" w14:textId="77777777" w:rsidR="00A65DCD" w:rsidRDefault="00A65DCD" w:rsidP="00A65DCD">
      <w:pPr>
        <w:divId w:val="1680279521"/>
        <w:rPr>
          <w:rFonts w:eastAsia="Times New Roman"/>
        </w:rPr>
      </w:pPr>
      <w:r>
        <w:rPr>
          <w:rStyle w:val="Strong"/>
          <w:rFonts w:eastAsia="Times New Roman" w:cs="Arial"/>
          <w:szCs w:val="22"/>
        </w:rPr>
        <w:t>Core Competency</w:t>
      </w:r>
      <w:r>
        <w:rPr>
          <w:rFonts w:eastAsia="Times New Roman"/>
        </w:rPr>
        <w:t xml:space="preserve"> Mission-driven workforce. Care/compassion delivered by “human touch.” Staff actions/behaviors linked to creating positive donation experience for donor family (collaborators.)</w:t>
      </w:r>
    </w:p>
    <w:p w14:paraId="0BE14AAF" w14:textId="77777777" w:rsidR="00A65DCD" w:rsidRDefault="00A65DCD" w:rsidP="00A65DCD">
      <w:pPr>
        <w:divId w:val="1680279521"/>
        <w:rPr>
          <w:rFonts w:eastAsia="Times New Roman"/>
        </w:rPr>
      </w:pPr>
      <w:r>
        <w:rPr>
          <w:rStyle w:val="Strong"/>
          <w:rFonts w:eastAsia="Times New Roman" w:cs="Arial"/>
          <w:szCs w:val="22"/>
        </w:rPr>
        <w:t>Workforce Profile</w:t>
      </w:r>
      <w:r>
        <w:rPr>
          <w:rFonts w:eastAsia="Times New Roman"/>
        </w:rPr>
        <w:t xml:space="preserve"> 150 employees, decentralized, segmented by work system/department. 10% leadership. Tenure: 20% 1 year or less, 41% 2–5 years, 21% 6</w:t>
      </w:r>
      <w:r>
        <w:rPr>
          <w:rFonts w:eastAsia="Times New Roman"/>
        </w:rPr>
        <w:softHyphen/>
        <w:t>–10 years, 18% 11+ years. 65% female. Ethnicity: 70% white, 20% African American (DSA 25%), 10% other (DSA 5%). No workforce reductions. No organized bargaining units. Expanding clinical/nonclinical staff due to increased donations. No volunteers. Key requirements: staff connection to mission (VMV), employee benefits, relationships with coworkers.</w:t>
      </w:r>
    </w:p>
    <w:p w14:paraId="5CFAC382" w14:textId="77777777" w:rsidR="00A65DCD" w:rsidRDefault="00A65DCD" w:rsidP="00A65DCD">
      <w:pPr>
        <w:divId w:val="1680279521"/>
        <w:rPr>
          <w:rFonts w:eastAsia="Times New Roman"/>
        </w:rPr>
      </w:pPr>
      <w:r>
        <w:rPr>
          <w:rStyle w:val="Strong"/>
          <w:rFonts w:eastAsia="Times New Roman" w:cs="Arial"/>
          <w:szCs w:val="22"/>
        </w:rPr>
        <w:t>Assets</w:t>
      </w:r>
      <w:r>
        <w:rPr>
          <w:rFonts w:eastAsia="Times New Roman"/>
        </w:rPr>
        <w:t xml:space="preserve"> Custom-built facility with critical care unit and fully equipped operating room (OR). Key clinical technologies/equipment: x-ray, ultrasound, typical OR equipment. Leases plane equipped with medical equipment. Technology: EMR system, reporting services for customized reports.</w:t>
      </w:r>
    </w:p>
    <w:p w14:paraId="1B2B4B50" w14:textId="77777777" w:rsidR="00A65DCD" w:rsidRDefault="00A65DCD" w:rsidP="00A65DCD">
      <w:pPr>
        <w:divId w:val="1680279521"/>
        <w:rPr>
          <w:rFonts w:eastAsia="Times New Roman"/>
        </w:rPr>
      </w:pPr>
      <w:r>
        <w:rPr>
          <w:rStyle w:val="Strong"/>
          <w:rFonts w:eastAsia="Times New Roman" w:cs="Arial"/>
          <w:szCs w:val="22"/>
        </w:rPr>
        <w:t>Regulatory Environment</w:t>
      </w:r>
      <w:r>
        <w:rPr>
          <w:rFonts w:eastAsia="Times New Roman"/>
        </w:rPr>
        <w:t xml:space="preserve"> Mandatory: CAP, CMS, EEOC, FDA, DoL, IRS, OSHA; Voluntary: AATB, AOPO, UNOS/OPTN (Figure P.1-5). Local environmental/regulatory for fire/sanitation, biohazard trash disposal local/state regulations.</w:t>
      </w:r>
    </w:p>
    <w:p w14:paraId="0A6C2EB6" w14:textId="77777777" w:rsidR="00094B2C" w:rsidRPr="00081519" w:rsidRDefault="00094B2C">
      <w:pPr>
        <w:pStyle w:val="Heading4"/>
        <w:divId w:val="1680279521"/>
        <w:rPr>
          <w:rFonts w:eastAsia="Times New Roman" w:cs="Arial"/>
          <w:color w:val="FF0000"/>
        </w:rPr>
      </w:pPr>
      <w:r w:rsidRPr="00081519">
        <w:rPr>
          <w:rFonts w:eastAsia="Times New Roman" w:cs="Arial"/>
          <w:color w:val="FF0000"/>
        </w:rPr>
        <w:t>P.1b Organizational Relationships</w:t>
      </w:r>
    </w:p>
    <w:p w14:paraId="45F6D325" w14:textId="2356FF0E" w:rsidR="00094B2C" w:rsidRDefault="00094B2C" w:rsidP="00B1161F">
      <w:pPr>
        <w:divId w:val="1680279521"/>
        <w:rPr>
          <w:rFonts w:eastAsia="Times New Roman"/>
        </w:rPr>
      </w:pPr>
    </w:p>
    <w:p w14:paraId="116884AD" w14:textId="20AA71BE" w:rsidR="00DD67F9" w:rsidRPr="003A25A0" w:rsidRDefault="00DD67F9" w:rsidP="00DD67F9">
      <w:pPr>
        <w:pStyle w:val="Heading2"/>
        <w:divId w:val="1680279521"/>
        <w:rPr>
          <w:rFonts w:eastAsia="Times New Roman" w:cs="Arial"/>
          <w:sz w:val="32"/>
          <w:szCs w:val="32"/>
        </w:rPr>
      </w:pPr>
      <w:r w:rsidRPr="003A25A0">
        <w:rPr>
          <w:rFonts w:eastAsia="Times New Roman" w:cs="Arial"/>
          <w:sz w:val="32"/>
          <w:szCs w:val="32"/>
        </w:rPr>
        <w:t>P.</w:t>
      </w:r>
      <w:r w:rsidR="007F03E8">
        <w:rPr>
          <w:rFonts w:eastAsia="Times New Roman" w:cs="Arial"/>
          <w:sz w:val="32"/>
          <w:szCs w:val="32"/>
        </w:rPr>
        <w:t>2</w:t>
      </w:r>
      <w:bookmarkStart w:id="1" w:name="_GoBack"/>
      <w:bookmarkEnd w:id="1"/>
      <w:r w:rsidRPr="003A25A0">
        <w:rPr>
          <w:rFonts w:eastAsia="Times New Roman" w:cs="Arial"/>
          <w:sz w:val="32"/>
          <w:szCs w:val="32"/>
        </w:rPr>
        <w:t xml:space="preserve"> Organizational </w:t>
      </w:r>
      <w:r>
        <w:rPr>
          <w:rFonts w:eastAsia="Times New Roman" w:cs="Arial"/>
          <w:sz w:val="32"/>
          <w:szCs w:val="32"/>
        </w:rPr>
        <w:t>Situation</w:t>
      </w:r>
    </w:p>
    <w:p w14:paraId="290EFA26" w14:textId="77777777" w:rsidR="00094B2C" w:rsidRPr="00A823AD" w:rsidRDefault="00094B2C">
      <w:pPr>
        <w:pStyle w:val="Heading4"/>
        <w:divId w:val="1680279521"/>
        <w:rPr>
          <w:rFonts w:eastAsia="Times New Roman" w:cs="Arial"/>
        </w:rPr>
      </w:pPr>
      <w:r w:rsidRPr="00A823AD">
        <w:rPr>
          <w:rFonts w:eastAsia="Times New Roman" w:cs="Arial"/>
        </w:rPr>
        <w:t>P.2a Competitive Environment</w:t>
      </w:r>
    </w:p>
    <w:p w14:paraId="24B6DC6B" w14:textId="77777777" w:rsidR="00A823AD" w:rsidRDefault="00A823AD" w:rsidP="00A823AD">
      <w:pPr>
        <w:divId w:val="1680279521"/>
        <w:rPr>
          <w:rFonts w:eastAsia="Times New Roman" w:cs="Arial"/>
          <w:szCs w:val="22"/>
        </w:rPr>
      </w:pPr>
      <w:r>
        <w:rPr>
          <w:rStyle w:val="Strong"/>
          <w:rFonts w:eastAsia="Times New Roman" w:cs="Arial"/>
          <w:szCs w:val="22"/>
        </w:rPr>
        <w:t>Competitive Position</w:t>
      </w:r>
      <w:r>
        <w:rPr>
          <w:rFonts w:eastAsia="Times New Roman" w:cs="Arial"/>
          <w:szCs w:val="22"/>
        </w:rPr>
        <w:t xml:space="preserve"> No traditional organ procurement competitors, regulated “monopoly.” Must meet CMS national standards. CMS could award DSA to another OPO. Reassignment based on performance to standards. For TWS, donor hospitals required to report all deaths to applicant but may contract with another tissue bank. Applicant has tissue recovery contracts with all 80 donor hospital partners. Partners with eye bank, VisionMax, to ensure eye donation opportunities for families in DSA. 40th of 58 OPOs in population within DSA. Growth in donation must come from increases in medically eligible candidates within DSA, increases in number of families who authorize donation, or ID of nonhospital referral sources. Constraints of limited service area reinforce importance of maximizing donation for each donor.</w:t>
      </w:r>
    </w:p>
    <w:p w14:paraId="1632CCEA" w14:textId="77777777" w:rsidR="00A823AD" w:rsidRDefault="00A823AD" w:rsidP="00A823AD">
      <w:pPr>
        <w:divId w:val="1680279521"/>
        <w:rPr>
          <w:rFonts w:eastAsia="Times New Roman" w:cs="Arial"/>
          <w:szCs w:val="22"/>
        </w:rPr>
      </w:pPr>
      <w:r>
        <w:rPr>
          <w:rStyle w:val="Strong"/>
          <w:rFonts w:eastAsia="Times New Roman" w:cs="Arial"/>
          <w:szCs w:val="22"/>
        </w:rPr>
        <w:lastRenderedPageBreak/>
        <w:t>Competitiveness Changes</w:t>
      </w:r>
      <w:r>
        <w:rPr>
          <w:rFonts w:eastAsia="Times New Roman" w:cs="Arial"/>
          <w:szCs w:val="22"/>
        </w:rPr>
        <w:t xml:space="preserve"> None that affect competitive position. Affordable Care Act changes to OPO industry uncertain. Decided to focus on ability to improve and rely on mission-driven workforce (CC) to achieve cost effectiveness and efficiencies to place itself in strong financial position (SA) to manage future challenges. Key factors influencing success: mission-driven workforce that is highly motivated and engaged in saving lives (CC); strong relationships through partnering/collaboration.</w:t>
      </w:r>
    </w:p>
    <w:p w14:paraId="4644E7F0" w14:textId="35EBF0E5" w:rsidR="00094B2C" w:rsidRDefault="00A823AD" w:rsidP="00A823AD">
      <w:pPr>
        <w:divId w:val="1680279521"/>
        <w:rPr>
          <w:rFonts w:eastAsia="Times New Roman"/>
        </w:rPr>
      </w:pPr>
      <w:r>
        <w:rPr>
          <w:rStyle w:val="Strong"/>
          <w:rFonts w:eastAsia="Times New Roman" w:cs="Arial"/>
          <w:szCs w:val="22"/>
        </w:rPr>
        <w:t>Comparative Data</w:t>
      </w:r>
      <w:r>
        <w:rPr>
          <w:rFonts w:eastAsia="Times New Roman" w:cs="Arial"/>
          <w:szCs w:val="22"/>
        </w:rPr>
        <w:t xml:space="preserve"> Figure 4.1-4. National benchmarks available through multiple sources; lead time before availability can be many months. Comparative data more limited for tissue operations; tissue processors provide monthly feedback for select results in scorecards. Relies on sharing</w:t>
      </w:r>
      <w:r w:rsidRPr="00932EA4">
        <w:rPr>
          <w:rFonts w:eastAsia="Times New Roman" w:cs="Arial"/>
          <w:szCs w:val="22"/>
        </w:rPr>
        <w:t xml:space="preserve"> </w:t>
      </w:r>
      <w:r>
        <w:rPr>
          <w:rFonts w:eastAsia="Times New Roman" w:cs="Arial"/>
          <w:szCs w:val="22"/>
        </w:rPr>
        <w:t>comparative data with other OPOs. AOPO, OPTN/SRTR, Tissue processors, BoardInfo, DHSS, US DoL</w:t>
      </w:r>
    </w:p>
    <w:p w14:paraId="5C82B62F" w14:textId="5CA8498D" w:rsidR="00094B2C" w:rsidRPr="00A16EAC" w:rsidRDefault="00094B2C">
      <w:pPr>
        <w:pStyle w:val="Heading4"/>
        <w:divId w:val="1680279521"/>
        <w:rPr>
          <w:rFonts w:eastAsia="Times New Roman" w:cs="Arial"/>
          <w:color w:val="FF0000"/>
        </w:rPr>
      </w:pPr>
      <w:r w:rsidRPr="00A16EAC">
        <w:rPr>
          <w:rFonts w:eastAsia="Times New Roman" w:cs="Arial"/>
          <w:color w:val="FF0000"/>
        </w:rPr>
        <w:t>P.2b Strategic Context</w:t>
      </w:r>
    </w:p>
    <w:p w14:paraId="3F1A7F50" w14:textId="77777777" w:rsidR="00A823AD" w:rsidRDefault="00A823AD">
      <w:pPr>
        <w:pStyle w:val="Heading4"/>
        <w:divId w:val="1680279521"/>
        <w:rPr>
          <w:rFonts w:eastAsia="Times New Roman" w:cs="Arial"/>
        </w:rPr>
      </w:pPr>
    </w:p>
    <w:p w14:paraId="5C9930E1" w14:textId="77777777" w:rsidR="00094B2C" w:rsidRDefault="00094B2C">
      <w:pPr>
        <w:pStyle w:val="Heading4"/>
        <w:divId w:val="1680279521"/>
        <w:rPr>
          <w:rFonts w:eastAsia="Times New Roman" w:cs="Arial"/>
        </w:rPr>
      </w:pPr>
      <w:r>
        <w:rPr>
          <w:rFonts w:eastAsia="Times New Roman" w:cs="Arial"/>
        </w:rPr>
        <w:t>P.2c P</w:t>
      </w:r>
      <w:r w:rsidR="00E17727">
        <w:rPr>
          <w:rFonts w:eastAsia="Times New Roman" w:cs="Arial"/>
        </w:rPr>
        <w:t>erformance</w:t>
      </w:r>
      <w:r>
        <w:rPr>
          <w:rFonts w:eastAsia="Times New Roman" w:cs="Arial"/>
        </w:rPr>
        <w:t xml:space="preserve"> Improvement System</w:t>
      </w:r>
    </w:p>
    <w:p w14:paraId="28583426" w14:textId="77777777" w:rsidR="005F51DE" w:rsidRDefault="005F51DE" w:rsidP="005F51DE">
      <w:pPr>
        <w:divId w:val="1680279521"/>
        <w:rPr>
          <w:rFonts w:eastAsia="Times New Roman" w:cs="Arial"/>
          <w:szCs w:val="22"/>
        </w:rPr>
      </w:pPr>
      <w:r>
        <w:rPr>
          <w:rStyle w:val="Strong"/>
          <w:rFonts w:eastAsia="Times New Roman" w:cs="Arial"/>
          <w:szCs w:val="22"/>
        </w:rPr>
        <w:t>Performance Improvement System</w:t>
      </w:r>
      <w:r>
        <w:rPr>
          <w:rFonts w:eastAsia="Times New Roman" w:cs="Arial"/>
          <w:szCs w:val="22"/>
        </w:rPr>
        <w:t xml:space="preserve"> Leadership System (Figure 1.1-1), Communication Process (Figure 1.1-3). Continuous process improvement environment. Baldrige Criteria business model and foundation for performance improvement (PI). Operational improvements identified/implemented through SPP and Operational Management Process (Figure 6.1-1.) Performance improvement staff part of Quality/Regulatory department. PMS (Figure 4.1-1) used to monitor success. Plan-Do-Study-Act (PDSA) problem-solving methodology embedded in improvement processes</w:t>
      </w:r>
    </w:p>
    <w:p w14:paraId="2A0F69A7" w14:textId="6E5AB17E" w:rsidR="00321E54" w:rsidRDefault="00321E54" w:rsidP="00321E54">
      <w:pPr>
        <w:divId w:val="1680279521"/>
        <w:rPr>
          <w:rFonts w:eastAsia="Times New Roman" w:cs="Arial"/>
          <w:szCs w:val="22"/>
        </w:rPr>
      </w:pPr>
    </w:p>
    <w:bookmarkEnd w:id="0"/>
    <w:p w14:paraId="7BF50F10" w14:textId="12DB133A" w:rsidR="00321E54" w:rsidRDefault="00321E54" w:rsidP="00321E54">
      <w:pPr>
        <w:divId w:val="1680279521"/>
        <w:rPr>
          <w:rFonts w:eastAsia="Times New Roman" w:cs="Arial"/>
          <w:szCs w:val="22"/>
        </w:rPr>
      </w:pPr>
    </w:p>
    <w:sectPr w:rsidR="00321E54" w:rsidSect="00B1161F">
      <w:headerReference w:type="default" r:id="rId7"/>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0D6E" w14:textId="77777777" w:rsidR="009508DE" w:rsidRDefault="009508DE" w:rsidP="00EB4295">
      <w:pPr>
        <w:spacing w:after="0"/>
      </w:pPr>
      <w:r>
        <w:separator/>
      </w:r>
    </w:p>
  </w:endnote>
  <w:endnote w:type="continuationSeparator" w:id="0">
    <w:p w14:paraId="3A1E0CF3" w14:textId="77777777" w:rsidR="009508DE" w:rsidRDefault="009508DE" w:rsidP="00EB42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B3B6D" w14:textId="77777777" w:rsidR="009508DE" w:rsidRDefault="009508DE" w:rsidP="00EB4295">
      <w:pPr>
        <w:spacing w:after="0"/>
      </w:pPr>
      <w:r>
        <w:separator/>
      </w:r>
    </w:p>
  </w:footnote>
  <w:footnote w:type="continuationSeparator" w:id="0">
    <w:p w14:paraId="5B8B9CFB" w14:textId="77777777" w:rsidR="009508DE" w:rsidRDefault="009508DE" w:rsidP="00EB42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DEEB" w14:textId="32BBA629" w:rsidR="009C0694" w:rsidRPr="00BB6A4D" w:rsidRDefault="00BB6A4D" w:rsidP="00A80A9C">
    <w:pPr>
      <w:pStyle w:val="Header"/>
      <w:jc w:val="right"/>
    </w:pPr>
    <w:r w:rsidRPr="00BB6A4D">
      <w:t>2019 LifeBridge Organ and Tissue Sharing Case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F56"/>
    <w:multiLevelType w:val="multilevel"/>
    <w:tmpl w:val="D55A8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E16FF6"/>
    <w:multiLevelType w:val="multilevel"/>
    <w:tmpl w:val="06FE9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6E794D"/>
    <w:multiLevelType w:val="multilevel"/>
    <w:tmpl w:val="AD10E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CC3F95"/>
    <w:multiLevelType w:val="multilevel"/>
    <w:tmpl w:val="DC041982"/>
    <w:lvl w:ilvl="0">
      <w:start w:val="1"/>
      <w:numFmt w:val="decimal"/>
      <w:lvlText w:val="%1."/>
      <w:lvlJc w:val="left"/>
      <w:pPr>
        <w:tabs>
          <w:tab w:val="num" w:pos="5040"/>
        </w:tabs>
        <w:ind w:left="5040" w:hanging="360"/>
      </w:pPr>
    </w:lvl>
    <w:lvl w:ilvl="1">
      <w:start w:val="1"/>
      <w:numFmt w:val="decimal"/>
      <w:lvlText w:val="%2."/>
      <w:lvlJc w:val="left"/>
      <w:pPr>
        <w:tabs>
          <w:tab w:val="num" w:pos="5760"/>
        </w:tabs>
        <w:ind w:left="5760" w:hanging="360"/>
      </w:pPr>
    </w:lvl>
    <w:lvl w:ilvl="2">
      <w:start w:val="1"/>
      <w:numFmt w:val="decimal"/>
      <w:lvlText w:val="%3."/>
      <w:lvlJc w:val="left"/>
      <w:pPr>
        <w:tabs>
          <w:tab w:val="num" w:pos="6480"/>
        </w:tabs>
        <w:ind w:left="6480" w:hanging="360"/>
      </w:pPr>
    </w:lvl>
    <w:lvl w:ilvl="3">
      <w:start w:val="1"/>
      <w:numFmt w:val="decimal"/>
      <w:lvlText w:val="%4."/>
      <w:lvlJc w:val="left"/>
      <w:pPr>
        <w:tabs>
          <w:tab w:val="num" w:pos="7200"/>
        </w:tabs>
        <w:ind w:left="7200" w:hanging="360"/>
      </w:pPr>
    </w:lvl>
    <w:lvl w:ilvl="4">
      <w:start w:val="1"/>
      <w:numFmt w:val="decimal"/>
      <w:lvlText w:val="%5."/>
      <w:lvlJc w:val="left"/>
      <w:pPr>
        <w:tabs>
          <w:tab w:val="num" w:pos="7920"/>
        </w:tabs>
        <w:ind w:left="7920" w:hanging="360"/>
      </w:pPr>
    </w:lvl>
    <w:lvl w:ilvl="5">
      <w:start w:val="1"/>
      <w:numFmt w:val="decimal"/>
      <w:lvlText w:val="%6."/>
      <w:lvlJc w:val="left"/>
      <w:pPr>
        <w:tabs>
          <w:tab w:val="num" w:pos="8640"/>
        </w:tabs>
        <w:ind w:left="8640" w:hanging="360"/>
      </w:pPr>
    </w:lvl>
    <w:lvl w:ilvl="6">
      <w:start w:val="1"/>
      <w:numFmt w:val="decimal"/>
      <w:lvlText w:val="%7."/>
      <w:lvlJc w:val="left"/>
      <w:pPr>
        <w:tabs>
          <w:tab w:val="num" w:pos="9360"/>
        </w:tabs>
        <w:ind w:left="9360" w:hanging="360"/>
      </w:pPr>
    </w:lvl>
    <w:lvl w:ilvl="7">
      <w:start w:val="1"/>
      <w:numFmt w:val="decimal"/>
      <w:lvlText w:val="%8."/>
      <w:lvlJc w:val="left"/>
      <w:pPr>
        <w:tabs>
          <w:tab w:val="num" w:pos="10080"/>
        </w:tabs>
        <w:ind w:left="10080" w:hanging="360"/>
      </w:pPr>
    </w:lvl>
    <w:lvl w:ilvl="8">
      <w:start w:val="1"/>
      <w:numFmt w:val="decimal"/>
      <w:lvlText w:val="%9."/>
      <w:lvlJc w:val="left"/>
      <w:pPr>
        <w:tabs>
          <w:tab w:val="num" w:pos="10800"/>
        </w:tabs>
        <w:ind w:left="10800" w:hanging="360"/>
      </w:pPr>
    </w:lvl>
  </w:abstractNum>
  <w:abstractNum w:abstractNumId="4" w15:restartNumberingAfterBreak="0">
    <w:nsid w:val="1F97215B"/>
    <w:multiLevelType w:val="hybridMultilevel"/>
    <w:tmpl w:val="CD7C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C1A0FE1"/>
    <w:multiLevelType w:val="multilevel"/>
    <w:tmpl w:val="E17CD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280E50"/>
    <w:multiLevelType w:val="multilevel"/>
    <w:tmpl w:val="A0929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C90295"/>
    <w:multiLevelType w:val="hybridMultilevel"/>
    <w:tmpl w:val="72C6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224FB"/>
    <w:multiLevelType w:val="multilevel"/>
    <w:tmpl w:val="D5DAB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543DF7"/>
    <w:multiLevelType w:val="multilevel"/>
    <w:tmpl w:val="F3BAA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81B7E11"/>
    <w:multiLevelType w:val="multilevel"/>
    <w:tmpl w:val="676CF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E845DC"/>
    <w:multiLevelType w:val="multilevel"/>
    <w:tmpl w:val="728C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1270CAA"/>
    <w:multiLevelType w:val="multilevel"/>
    <w:tmpl w:val="F80CA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1A377D"/>
    <w:multiLevelType w:val="multilevel"/>
    <w:tmpl w:val="E4A88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8404529"/>
    <w:multiLevelType w:val="multilevel"/>
    <w:tmpl w:val="0B005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0310BD9"/>
    <w:multiLevelType w:val="multilevel"/>
    <w:tmpl w:val="55342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12F010C"/>
    <w:multiLevelType w:val="multilevel"/>
    <w:tmpl w:val="CCC40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493AC0"/>
    <w:multiLevelType w:val="multilevel"/>
    <w:tmpl w:val="3782D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958243A"/>
    <w:multiLevelType w:val="multilevel"/>
    <w:tmpl w:val="DA6A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D151BBA"/>
    <w:multiLevelType w:val="multilevel"/>
    <w:tmpl w:val="D39EE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0221F33"/>
    <w:multiLevelType w:val="multilevel"/>
    <w:tmpl w:val="32D8D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534227A"/>
    <w:multiLevelType w:val="multilevel"/>
    <w:tmpl w:val="A628F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FB75DC8"/>
    <w:multiLevelType w:val="multilevel"/>
    <w:tmpl w:val="23BA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28D"/>
    <w:rsid w:val="000011EF"/>
    <w:rsid w:val="00021087"/>
    <w:rsid w:val="00023AE9"/>
    <w:rsid w:val="00065504"/>
    <w:rsid w:val="00081519"/>
    <w:rsid w:val="000910C0"/>
    <w:rsid w:val="00091F5B"/>
    <w:rsid w:val="00094B2C"/>
    <w:rsid w:val="000A3DCD"/>
    <w:rsid w:val="000A7A3F"/>
    <w:rsid w:val="000B15C5"/>
    <w:rsid w:val="000F509B"/>
    <w:rsid w:val="001015A9"/>
    <w:rsid w:val="001018F5"/>
    <w:rsid w:val="00101AC8"/>
    <w:rsid w:val="00143FBD"/>
    <w:rsid w:val="00147072"/>
    <w:rsid w:val="0016004D"/>
    <w:rsid w:val="00160605"/>
    <w:rsid w:val="001642E4"/>
    <w:rsid w:val="00170F0B"/>
    <w:rsid w:val="00181F37"/>
    <w:rsid w:val="001843E3"/>
    <w:rsid w:val="00184A1F"/>
    <w:rsid w:val="00187F0C"/>
    <w:rsid w:val="001E0B4F"/>
    <w:rsid w:val="001E191C"/>
    <w:rsid w:val="001F019B"/>
    <w:rsid w:val="001F2A1B"/>
    <w:rsid w:val="00213EC8"/>
    <w:rsid w:val="0022604D"/>
    <w:rsid w:val="00231BCA"/>
    <w:rsid w:val="00242527"/>
    <w:rsid w:val="00244788"/>
    <w:rsid w:val="00253992"/>
    <w:rsid w:val="00260FF6"/>
    <w:rsid w:val="002621F1"/>
    <w:rsid w:val="002A34E0"/>
    <w:rsid w:val="002A4492"/>
    <w:rsid w:val="002A720E"/>
    <w:rsid w:val="002A750F"/>
    <w:rsid w:val="002C00AB"/>
    <w:rsid w:val="002D4FFD"/>
    <w:rsid w:val="002E2696"/>
    <w:rsid w:val="002E2A4C"/>
    <w:rsid w:val="002F0379"/>
    <w:rsid w:val="002F4AF6"/>
    <w:rsid w:val="00306E1C"/>
    <w:rsid w:val="00321E54"/>
    <w:rsid w:val="0034053B"/>
    <w:rsid w:val="00341BB3"/>
    <w:rsid w:val="00347E96"/>
    <w:rsid w:val="00354239"/>
    <w:rsid w:val="00355A5D"/>
    <w:rsid w:val="00357449"/>
    <w:rsid w:val="00360458"/>
    <w:rsid w:val="00366901"/>
    <w:rsid w:val="00371B69"/>
    <w:rsid w:val="003720B9"/>
    <w:rsid w:val="00385BFA"/>
    <w:rsid w:val="00396990"/>
    <w:rsid w:val="003A25A0"/>
    <w:rsid w:val="003B4FE2"/>
    <w:rsid w:val="003C097D"/>
    <w:rsid w:val="003D3514"/>
    <w:rsid w:val="003D48C5"/>
    <w:rsid w:val="003E0710"/>
    <w:rsid w:val="003F13BC"/>
    <w:rsid w:val="003F4280"/>
    <w:rsid w:val="00414FAF"/>
    <w:rsid w:val="00417EAA"/>
    <w:rsid w:val="004312A3"/>
    <w:rsid w:val="00434E88"/>
    <w:rsid w:val="004520BD"/>
    <w:rsid w:val="00460C9B"/>
    <w:rsid w:val="004703D8"/>
    <w:rsid w:val="00472CDC"/>
    <w:rsid w:val="004740EE"/>
    <w:rsid w:val="004802AC"/>
    <w:rsid w:val="00492637"/>
    <w:rsid w:val="004935F0"/>
    <w:rsid w:val="00496D0C"/>
    <w:rsid w:val="004A6FD4"/>
    <w:rsid w:val="004B1693"/>
    <w:rsid w:val="004B1D26"/>
    <w:rsid w:val="004C6A88"/>
    <w:rsid w:val="004D0DBC"/>
    <w:rsid w:val="004F356C"/>
    <w:rsid w:val="00524B40"/>
    <w:rsid w:val="00532DBF"/>
    <w:rsid w:val="00547543"/>
    <w:rsid w:val="00555A43"/>
    <w:rsid w:val="00577076"/>
    <w:rsid w:val="00582745"/>
    <w:rsid w:val="005A06D2"/>
    <w:rsid w:val="005A3F59"/>
    <w:rsid w:val="005B06CC"/>
    <w:rsid w:val="005B2D07"/>
    <w:rsid w:val="005D207D"/>
    <w:rsid w:val="005E0259"/>
    <w:rsid w:val="005E5417"/>
    <w:rsid w:val="005E5809"/>
    <w:rsid w:val="005F1686"/>
    <w:rsid w:val="005F22C1"/>
    <w:rsid w:val="005F426C"/>
    <w:rsid w:val="005F51DE"/>
    <w:rsid w:val="006023EC"/>
    <w:rsid w:val="00633D73"/>
    <w:rsid w:val="0064159A"/>
    <w:rsid w:val="006628DD"/>
    <w:rsid w:val="00671BAF"/>
    <w:rsid w:val="00672346"/>
    <w:rsid w:val="006A7249"/>
    <w:rsid w:val="006C51E6"/>
    <w:rsid w:val="006C539C"/>
    <w:rsid w:val="006C6924"/>
    <w:rsid w:val="006D6BB3"/>
    <w:rsid w:val="006E2276"/>
    <w:rsid w:val="006F28A2"/>
    <w:rsid w:val="007009E0"/>
    <w:rsid w:val="00702E5F"/>
    <w:rsid w:val="007107FD"/>
    <w:rsid w:val="00722AB1"/>
    <w:rsid w:val="00730945"/>
    <w:rsid w:val="00731681"/>
    <w:rsid w:val="00737B5A"/>
    <w:rsid w:val="00742E89"/>
    <w:rsid w:val="00750796"/>
    <w:rsid w:val="007538D0"/>
    <w:rsid w:val="007875E8"/>
    <w:rsid w:val="007A7F50"/>
    <w:rsid w:val="007D107C"/>
    <w:rsid w:val="007E72BD"/>
    <w:rsid w:val="007F03E8"/>
    <w:rsid w:val="007F2B1B"/>
    <w:rsid w:val="00804986"/>
    <w:rsid w:val="00805784"/>
    <w:rsid w:val="0081728D"/>
    <w:rsid w:val="00825AB1"/>
    <w:rsid w:val="008424F7"/>
    <w:rsid w:val="00891F10"/>
    <w:rsid w:val="008A37B6"/>
    <w:rsid w:val="008D1B3B"/>
    <w:rsid w:val="008D4BFA"/>
    <w:rsid w:val="008E477C"/>
    <w:rsid w:val="008E71FE"/>
    <w:rsid w:val="008E7274"/>
    <w:rsid w:val="008F2F80"/>
    <w:rsid w:val="0091000D"/>
    <w:rsid w:val="00915B8B"/>
    <w:rsid w:val="00925BC1"/>
    <w:rsid w:val="00932F8E"/>
    <w:rsid w:val="009364CB"/>
    <w:rsid w:val="00941BC6"/>
    <w:rsid w:val="00945E18"/>
    <w:rsid w:val="009508DE"/>
    <w:rsid w:val="00950AF0"/>
    <w:rsid w:val="00951509"/>
    <w:rsid w:val="00960BCC"/>
    <w:rsid w:val="00966EA9"/>
    <w:rsid w:val="009679D0"/>
    <w:rsid w:val="009C0694"/>
    <w:rsid w:val="009C43EE"/>
    <w:rsid w:val="009C47CF"/>
    <w:rsid w:val="009C5C88"/>
    <w:rsid w:val="009D13CA"/>
    <w:rsid w:val="009E7E15"/>
    <w:rsid w:val="009F38FF"/>
    <w:rsid w:val="00A040B1"/>
    <w:rsid w:val="00A14D5C"/>
    <w:rsid w:val="00A16EAC"/>
    <w:rsid w:val="00A436C3"/>
    <w:rsid w:val="00A43FEE"/>
    <w:rsid w:val="00A5545B"/>
    <w:rsid w:val="00A65DCD"/>
    <w:rsid w:val="00A67B72"/>
    <w:rsid w:val="00A74800"/>
    <w:rsid w:val="00A76B3E"/>
    <w:rsid w:val="00A80A9C"/>
    <w:rsid w:val="00A82351"/>
    <w:rsid w:val="00A823AD"/>
    <w:rsid w:val="00AA1AB0"/>
    <w:rsid w:val="00AC79A9"/>
    <w:rsid w:val="00AE0E32"/>
    <w:rsid w:val="00B051D7"/>
    <w:rsid w:val="00B1161F"/>
    <w:rsid w:val="00B14DD7"/>
    <w:rsid w:val="00B43A4C"/>
    <w:rsid w:val="00B46367"/>
    <w:rsid w:val="00B62590"/>
    <w:rsid w:val="00B9214C"/>
    <w:rsid w:val="00BA070C"/>
    <w:rsid w:val="00BB6A4D"/>
    <w:rsid w:val="00BB7E47"/>
    <w:rsid w:val="00BC1955"/>
    <w:rsid w:val="00BC3376"/>
    <w:rsid w:val="00BC384E"/>
    <w:rsid w:val="00BE2855"/>
    <w:rsid w:val="00BF18A5"/>
    <w:rsid w:val="00C2154F"/>
    <w:rsid w:val="00C23E08"/>
    <w:rsid w:val="00C41ECC"/>
    <w:rsid w:val="00C47E44"/>
    <w:rsid w:val="00C53C7A"/>
    <w:rsid w:val="00C542A3"/>
    <w:rsid w:val="00C66CBF"/>
    <w:rsid w:val="00C732B9"/>
    <w:rsid w:val="00C757F4"/>
    <w:rsid w:val="00C8357C"/>
    <w:rsid w:val="00C8674E"/>
    <w:rsid w:val="00CA13DC"/>
    <w:rsid w:val="00CA16E2"/>
    <w:rsid w:val="00CB597B"/>
    <w:rsid w:val="00CB5F77"/>
    <w:rsid w:val="00CC592E"/>
    <w:rsid w:val="00CD68E2"/>
    <w:rsid w:val="00CE3F33"/>
    <w:rsid w:val="00CE5962"/>
    <w:rsid w:val="00CF1B6B"/>
    <w:rsid w:val="00CF60AE"/>
    <w:rsid w:val="00D13A87"/>
    <w:rsid w:val="00D324B2"/>
    <w:rsid w:val="00D46D3B"/>
    <w:rsid w:val="00D61FC3"/>
    <w:rsid w:val="00D6369E"/>
    <w:rsid w:val="00D74324"/>
    <w:rsid w:val="00D85B4B"/>
    <w:rsid w:val="00D85E43"/>
    <w:rsid w:val="00D863F8"/>
    <w:rsid w:val="00D92A35"/>
    <w:rsid w:val="00D94ED2"/>
    <w:rsid w:val="00DA75D5"/>
    <w:rsid w:val="00DB4E30"/>
    <w:rsid w:val="00DC121A"/>
    <w:rsid w:val="00DC728F"/>
    <w:rsid w:val="00DD02AD"/>
    <w:rsid w:val="00DD67F9"/>
    <w:rsid w:val="00E0122B"/>
    <w:rsid w:val="00E03887"/>
    <w:rsid w:val="00E052B4"/>
    <w:rsid w:val="00E11B55"/>
    <w:rsid w:val="00E127E8"/>
    <w:rsid w:val="00E17727"/>
    <w:rsid w:val="00E320B5"/>
    <w:rsid w:val="00E33299"/>
    <w:rsid w:val="00E35E52"/>
    <w:rsid w:val="00E53C97"/>
    <w:rsid w:val="00E57052"/>
    <w:rsid w:val="00E62856"/>
    <w:rsid w:val="00E657AE"/>
    <w:rsid w:val="00E70C37"/>
    <w:rsid w:val="00E845A9"/>
    <w:rsid w:val="00E85D33"/>
    <w:rsid w:val="00E86736"/>
    <w:rsid w:val="00E86C2D"/>
    <w:rsid w:val="00E967D5"/>
    <w:rsid w:val="00EB4295"/>
    <w:rsid w:val="00EC62CD"/>
    <w:rsid w:val="00EE51B5"/>
    <w:rsid w:val="00EF01C0"/>
    <w:rsid w:val="00F04B2D"/>
    <w:rsid w:val="00F15569"/>
    <w:rsid w:val="00F170B1"/>
    <w:rsid w:val="00F17B5B"/>
    <w:rsid w:val="00F2011D"/>
    <w:rsid w:val="00F207B6"/>
    <w:rsid w:val="00F27AD7"/>
    <w:rsid w:val="00F32A6D"/>
    <w:rsid w:val="00F62B5A"/>
    <w:rsid w:val="00F63F5F"/>
    <w:rsid w:val="00F66964"/>
    <w:rsid w:val="00F75B77"/>
    <w:rsid w:val="00F84633"/>
    <w:rsid w:val="00F974E0"/>
    <w:rsid w:val="00F97F98"/>
    <w:rsid w:val="00FA549F"/>
    <w:rsid w:val="00FA7BDA"/>
    <w:rsid w:val="00FB05D3"/>
    <w:rsid w:val="00FD6F9C"/>
    <w:rsid w:val="00FF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0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61F"/>
    <w:pPr>
      <w:spacing w:after="120"/>
    </w:pPr>
    <w:rPr>
      <w:rFonts w:ascii="Arial" w:eastAsiaTheme="minorEastAsia" w:hAnsi="Arial"/>
      <w:sz w:val="22"/>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styleId="BalloonText">
    <w:name w:val="Balloon Text"/>
    <w:basedOn w:val="Normal"/>
    <w:link w:val="BalloonTextChar"/>
    <w:uiPriority w:val="99"/>
    <w:semiHidden/>
    <w:unhideWhenUsed/>
    <w:rsid w:val="00B1161F"/>
    <w:pPr>
      <w:spacing w:after="0"/>
    </w:pPr>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right" w:pos="1440"/>
      </w:tabs>
      <w:jc w:val="center"/>
    </w:pPr>
    <w:rPr>
      <w:sz w:val="20"/>
      <w:szCs w:val="20"/>
    </w:r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ListParagraph">
    <w:name w:val="List Paragraph"/>
    <w:basedOn w:val="Normal"/>
    <w:uiPriority w:val="34"/>
    <w:qFormat/>
    <w:rsid w:val="00B1161F"/>
    <w:pPr>
      <w:ind w:left="720"/>
    </w:pPr>
  </w:style>
  <w:style w:type="paragraph" w:customStyle="1" w:styleId="page">
    <w:name w:val="page"/>
    <w:basedOn w:val="Normal"/>
    <w:pPr>
      <w:pageBreakBefore/>
    </w:pPr>
  </w:style>
  <w:style w:type="paragraph" w:customStyle="1" w:styleId="stitle">
    <w:name w:val="stitle"/>
    <w:basedOn w:val="Normal"/>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semiHidden/>
    <w:unhideWhenUsed/>
    <w:rsid w:val="00094B2C"/>
    <w:rPr>
      <w:sz w:val="20"/>
      <w:szCs w:val="20"/>
    </w:rPr>
  </w:style>
  <w:style w:type="character" w:customStyle="1" w:styleId="FootnoteTextChar">
    <w:name w:val="Footnote Text Char"/>
    <w:basedOn w:val="DefaultParagraphFont"/>
    <w:link w:val="FootnoteText"/>
    <w:uiPriority w:val="99"/>
    <w:semiHidden/>
    <w:rsid w:val="00094B2C"/>
    <w:rPr>
      <w:rFonts w:eastAsiaTheme="minorEastAsia"/>
    </w:rPr>
  </w:style>
  <w:style w:type="character" w:styleId="FootnoteReference">
    <w:name w:val="footnote reference"/>
    <w:basedOn w:val="DefaultParagraphFont"/>
    <w:uiPriority w:val="99"/>
    <w:semiHidden/>
    <w:unhideWhenUsed/>
    <w:rsid w:val="00094B2C"/>
    <w:rPr>
      <w:vertAlign w:val="superscript"/>
    </w:rPr>
  </w:style>
  <w:style w:type="character" w:customStyle="1" w:styleId="BalloonTextChar">
    <w:name w:val="Balloon Text Char"/>
    <w:basedOn w:val="DefaultParagraphFont"/>
    <w:link w:val="BalloonText"/>
    <w:uiPriority w:val="99"/>
    <w:semiHidden/>
    <w:rsid w:val="00B1161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32F8E"/>
    <w:rPr>
      <w:sz w:val="16"/>
      <w:szCs w:val="16"/>
    </w:rPr>
  </w:style>
  <w:style w:type="paragraph" w:styleId="CommentText">
    <w:name w:val="annotation text"/>
    <w:basedOn w:val="Normal"/>
    <w:link w:val="CommentTextChar"/>
    <w:uiPriority w:val="99"/>
    <w:unhideWhenUsed/>
    <w:rsid w:val="00932F8E"/>
    <w:rPr>
      <w:sz w:val="20"/>
      <w:szCs w:val="20"/>
    </w:rPr>
  </w:style>
  <w:style w:type="character" w:customStyle="1" w:styleId="CommentTextChar">
    <w:name w:val="Comment Text Char"/>
    <w:basedOn w:val="DefaultParagraphFont"/>
    <w:link w:val="CommentText"/>
    <w:uiPriority w:val="99"/>
    <w:rsid w:val="00932F8E"/>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932F8E"/>
    <w:rPr>
      <w:b/>
      <w:bCs/>
    </w:rPr>
  </w:style>
  <w:style w:type="character" w:customStyle="1" w:styleId="CommentSubjectChar">
    <w:name w:val="Comment Subject Char"/>
    <w:basedOn w:val="CommentTextChar"/>
    <w:link w:val="CommentSubject"/>
    <w:uiPriority w:val="99"/>
    <w:semiHidden/>
    <w:rsid w:val="00932F8E"/>
    <w:rPr>
      <w:rFonts w:ascii="Arial" w:eastAsiaTheme="minorEastAsia" w:hAnsi="Arial"/>
      <w:b/>
      <w:bCs/>
    </w:rPr>
  </w:style>
  <w:style w:type="table" w:styleId="TableGrid">
    <w:name w:val="Table Grid"/>
    <w:basedOn w:val="TableNormal"/>
    <w:uiPriority w:val="39"/>
    <w:rsid w:val="00F6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27E8"/>
    <w:rPr>
      <w:rFonts w:ascii="Arial" w:eastAsiaTheme="minorEastAsia" w:hAnsi="Arial"/>
      <w:sz w:val="22"/>
      <w:szCs w:val="24"/>
    </w:rPr>
  </w:style>
  <w:style w:type="character" w:styleId="Emphasis">
    <w:name w:val="Emphasis"/>
    <w:basedOn w:val="DefaultParagraphFont"/>
    <w:uiPriority w:val="20"/>
    <w:qFormat/>
    <w:rsid w:val="00DD02AD"/>
    <w:rPr>
      <w:i/>
      <w:iCs/>
    </w:rPr>
  </w:style>
  <w:style w:type="character" w:customStyle="1" w:styleId="apple-converted-space">
    <w:name w:val="apple-converted-space"/>
    <w:basedOn w:val="DefaultParagraphFont"/>
    <w:rsid w:val="00DD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279521">
      <w:bodyDiv w:val="1"/>
      <w:marLeft w:val="360"/>
      <w:marRight w:val="360"/>
      <w:marTop w:val="360"/>
      <w:marBottom w:val="36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2019-08-19T15:00:00Z</dcterms:created>
  <dcterms:modified xsi:type="dcterms:W3CDTF">2019-08-19T15:12:00Z</dcterms:modified>
</cp:coreProperties>
</file>